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D62D76" w:rsidRPr="00D62D76" w:rsidRDefault="00FE45D6" w:rsidP="00C652F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AC64B4">
        <w:rPr>
          <w:rFonts w:ascii="Times New Roman" w:hAnsi="Times New Roman"/>
          <w:b/>
          <w:sz w:val="24"/>
          <w:szCs w:val="24"/>
          <w:u w:val="single"/>
        </w:rPr>
        <w:t>85</w:t>
      </w: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Pr="00C652F4" w:rsidRDefault="00FE45D6" w:rsidP="00C652F4">
      <w:pPr>
        <w:pStyle w:val="Textosinformato"/>
        <w:jc w:val="center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C652F4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Pr="00C652F4" w:rsidRDefault="00603E3F" w:rsidP="00C652F4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C652F4" w:rsidRDefault="00904B31" w:rsidP="00C652F4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C652F4" w:rsidRP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>Art. 1º)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>.-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 xml:space="preserve">AUTORÍCESE 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 xml:space="preserve">al Departamento Ejecutivo Municipal para que, por intermedio de la Secretaría de Economía, suscriba un Acta de Finalización de Contrato con la empresa </w:t>
      </w: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>“SERVICIOS Y CONSULTORÍA S.A.”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>, en función de la finalización del Contrato de Colaboración producida el día 20 de mayo de 2021.</w:t>
      </w:r>
    </w:p>
    <w:p w:rsidR="00C652F4" w:rsidRP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52F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652F4" w:rsidRP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>Art. 2º)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>.-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>AUTORÍCESE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 xml:space="preserve"> al Departamento Ejecutivo Municipal para que gestione y contrate, en los términos del art. 17° de la Ordenanza N° 7228, la realización de servicios de recupero en sede administrativa de obligaciones tributarias y demás acreencias municipales vencidas </w:t>
      </w:r>
      <w:r w:rsidRPr="00C652F4">
        <w:rPr>
          <w:rFonts w:ascii="Times New Roman" w:hAnsi="Times New Roman" w:cs="Times New Roman"/>
          <w:sz w:val="24"/>
          <w:szCs w:val="24"/>
        </w:rPr>
        <w:t>en relación a la “Tasa que incide sobre los Inmuebles”, “Tasa que incide sobre los Servicios Sanitarios”, “Tasa que incide sobre la Actividad Comercial, Industrial y de Servicios” y “Tasa que incide sobre los Vehículos Automotores, Acoplados y Similares”  y/o los que en el futuro los reemplacen, como así también servicios de colaboración, fiscalización, detección, seguimiento y gestión de cobranza sobre cada contribuyente de la “Contribución que incide sobre la actividad comercial, industrial y de servicios” (o tributo análogo que lo sustituya en el futuro), y también la “Tasa municipal que incide sobre los inmuebles” (o tributo análogo que lo sustituya en el futuro) circunscripto a la hipótesis de detección y/o fiscalización de construcciones clandestinas o no declaradas; gestione en sede administrativa el seguimiento de los planes de regularización de deuda tributaria vencida que se implementen por el Departamento Ejecutivo Municipal.</w:t>
      </w:r>
    </w:p>
    <w:p w:rsidR="00C652F4" w:rsidRP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52F4" w:rsidRPr="00C652F4" w:rsidRDefault="00C652F4" w:rsidP="00C652F4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>Art. 3º)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>.-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 xml:space="preserve">FÍJASE, 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 xml:space="preserve">a los fines previstos en el artículo anterior, las siguientes condiciones: </w:t>
      </w: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>a)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 xml:space="preserve"> Sujeto: deberán revestir el carácter de personas jurídicas debidamente constituidas, estando vedada la contratación de personas humanas; </w:t>
      </w: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>b)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 xml:space="preserve"> Plazo: máximo de cuatro (4) años con factibilidad de prórrogas; </w:t>
      </w: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>c)</w:t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 xml:space="preserve"> Precio: no podrá superar el dos por ciento (2%) de la recaudación mensual del Municipio que perciba en concepto de </w:t>
      </w:r>
      <w:r w:rsidRPr="00C652F4">
        <w:rPr>
          <w:rFonts w:ascii="Times New Roman" w:hAnsi="Times New Roman" w:cs="Times New Roman"/>
          <w:sz w:val="24"/>
          <w:szCs w:val="24"/>
        </w:rPr>
        <w:t xml:space="preserve">“Tasa que incide sobre los Inmuebles”, “Tasa que incide sobre los Servicios Sanitarios”, “Tasa que incide sobre la Actividad Comercial, Industrial y de Servicios” y “Tasa que incide sobre los Vehículos Automotores, Acoplados y Similares” y/o los que en el futuro los reemplacen; </w:t>
      </w:r>
      <w:r w:rsidRPr="00C652F4">
        <w:rPr>
          <w:rFonts w:ascii="Times New Roman" w:hAnsi="Times New Roman" w:cs="Times New Roman"/>
          <w:b/>
          <w:sz w:val="24"/>
          <w:szCs w:val="24"/>
        </w:rPr>
        <w:t>d)</w:t>
      </w:r>
      <w:r w:rsidRPr="00C652F4">
        <w:rPr>
          <w:rFonts w:ascii="Times New Roman" w:hAnsi="Times New Roman" w:cs="Times New Roman"/>
          <w:sz w:val="24"/>
          <w:szCs w:val="24"/>
        </w:rPr>
        <w:t xml:space="preserve"> Personal: adjuntará la nómina del personal afectado al servicio a contratar debiendo aportar la documentación que acredite el cabal cumplimiento de las leyes laborales, previsionales, sociales y de higiene y seguridad, como así también la contratación de los seguros obligatorios exigibles, en particular, el contratado a una Aseguradora de Riesgos del Trabajo en las condiciones de la Ley N° 24.557 y sus modificatorias; </w:t>
      </w:r>
      <w:r w:rsidRPr="00C652F4">
        <w:rPr>
          <w:rFonts w:ascii="Times New Roman" w:hAnsi="Times New Roman" w:cs="Times New Roman"/>
          <w:b/>
          <w:sz w:val="24"/>
          <w:szCs w:val="24"/>
        </w:rPr>
        <w:t>e)</w:t>
      </w:r>
      <w:r w:rsidRPr="00C652F4">
        <w:rPr>
          <w:rFonts w:ascii="Times New Roman" w:hAnsi="Times New Roman" w:cs="Times New Roman"/>
          <w:sz w:val="24"/>
          <w:szCs w:val="24"/>
        </w:rPr>
        <w:t xml:space="preserve"> el contrato deberá ser remitido al H.C.D.</w:t>
      </w:r>
    </w:p>
    <w:p w:rsidR="00C652F4" w:rsidRP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52F4">
        <w:rPr>
          <w:rFonts w:ascii="Times New Roman" w:eastAsia="Arial Unicode MS" w:hAnsi="Times New Roman" w:cs="Times New Roman"/>
          <w:b/>
          <w:sz w:val="24"/>
          <w:szCs w:val="24"/>
        </w:rPr>
        <w:t>Art. 4º).-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C652F4">
        <w:rPr>
          <w:rFonts w:ascii="Times New Roman" w:eastAsia="Arial Unicode MS" w:hAnsi="Times New Roman" w:cs="Times New Roman"/>
          <w:sz w:val="24"/>
          <w:szCs w:val="24"/>
        </w:rPr>
        <w:t>El Departamento Ejecutivo Municipal, en el marco de la autorización precedente, bajo ninguna circunstancia podrá delegar y/o resignar, ni condicionar la potestad del MUNICIPIO de establecer la política tributaria que crea más conveniente para la ciudad de San Francisco.</w:t>
      </w:r>
    </w:p>
    <w:p w:rsid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2…///</w:t>
      </w:r>
    </w:p>
    <w:p w:rsidR="00E555B0" w:rsidRDefault="00E555B0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80C31" w:rsidRPr="00C652F4" w:rsidRDefault="00C652F4" w:rsidP="00C652F4">
      <w:pPr>
        <w:spacing w:after="0" w:line="240" w:lineRule="auto"/>
        <w:ind w:left="964" w:hanging="9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52F4">
        <w:rPr>
          <w:rFonts w:ascii="Times New Roman" w:hAnsi="Times New Roman" w:cs="Times New Roman"/>
          <w:b/>
          <w:sz w:val="24"/>
          <w:szCs w:val="24"/>
        </w:rPr>
        <w:t>Art. 5</w:t>
      </w:r>
      <w:r w:rsidR="00D41D5B" w:rsidRPr="00C652F4">
        <w:rPr>
          <w:rFonts w:ascii="Times New Roman" w:hAnsi="Times New Roman" w:cs="Times New Roman"/>
          <w:b/>
          <w:sz w:val="24"/>
          <w:szCs w:val="24"/>
        </w:rPr>
        <w:t>º).-</w:t>
      </w:r>
      <w:r w:rsidR="00D41D5B" w:rsidRPr="00C652F4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C652F4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C652F4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C652F4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C652F4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C652F4">
        <w:rPr>
          <w:rFonts w:ascii="Times New Roman" w:hAnsi="Times New Roman" w:cs="Times New Roman"/>
          <w:sz w:val="24"/>
          <w:szCs w:val="24"/>
        </w:rPr>
        <w:t>archívese</w:t>
      </w:r>
      <w:r w:rsidR="00BA5374" w:rsidRPr="00C652F4">
        <w:rPr>
          <w:rFonts w:ascii="Times New Roman" w:hAnsi="Times New Roman" w:cs="Times New Roman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A5273F">
        <w:rPr>
          <w:rFonts w:ascii="Times New Roman" w:hAnsi="Times New Roman"/>
          <w:sz w:val="24"/>
          <w:szCs w:val="24"/>
        </w:rPr>
        <w:t>e San Francisco, a los veinte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4E5ED1">
        <w:rPr>
          <w:rFonts w:ascii="Times New Roman" w:hAnsi="Times New Roman"/>
          <w:sz w:val="24"/>
          <w:szCs w:val="24"/>
        </w:rPr>
        <w:t>es de mayo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91400"/>
    <w:rsid w:val="0009206B"/>
    <w:rsid w:val="000A7D94"/>
    <w:rsid w:val="000B0AEE"/>
    <w:rsid w:val="000B7988"/>
    <w:rsid w:val="000C0DB4"/>
    <w:rsid w:val="000E5F6F"/>
    <w:rsid w:val="00120951"/>
    <w:rsid w:val="00150BF1"/>
    <w:rsid w:val="001740E4"/>
    <w:rsid w:val="00186CCF"/>
    <w:rsid w:val="001B77FB"/>
    <w:rsid w:val="002164B4"/>
    <w:rsid w:val="0023486A"/>
    <w:rsid w:val="0026224D"/>
    <w:rsid w:val="002665D9"/>
    <w:rsid w:val="002B1754"/>
    <w:rsid w:val="002B4B4A"/>
    <w:rsid w:val="002F7625"/>
    <w:rsid w:val="003108D4"/>
    <w:rsid w:val="003752CE"/>
    <w:rsid w:val="0038276C"/>
    <w:rsid w:val="003B15A3"/>
    <w:rsid w:val="00426A0C"/>
    <w:rsid w:val="00440519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555C9"/>
    <w:rsid w:val="00680C31"/>
    <w:rsid w:val="006819B1"/>
    <w:rsid w:val="00682083"/>
    <w:rsid w:val="006A5C07"/>
    <w:rsid w:val="006B49C4"/>
    <w:rsid w:val="006D189C"/>
    <w:rsid w:val="006D6D8E"/>
    <w:rsid w:val="006E6665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12A4"/>
    <w:rsid w:val="008E2572"/>
    <w:rsid w:val="008E4C13"/>
    <w:rsid w:val="00904B31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412C1"/>
    <w:rsid w:val="00A46F05"/>
    <w:rsid w:val="00A5273F"/>
    <w:rsid w:val="00A72C03"/>
    <w:rsid w:val="00A973ED"/>
    <w:rsid w:val="00AA5F67"/>
    <w:rsid w:val="00AB056D"/>
    <w:rsid w:val="00AB6FC5"/>
    <w:rsid w:val="00AC64B4"/>
    <w:rsid w:val="00B1647A"/>
    <w:rsid w:val="00B70444"/>
    <w:rsid w:val="00B87CFB"/>
    <w:rsid w:val="00BA5374"/>
    <w:rsid w:val="00BC7DDF"/>
    <w:rsid w:val="00BD7347"/>
    <w:rsid w:val="00C52B18"/>
    <w:rsid w:val="00C621F2"/>
    <w:rsid w:val="00C652F4"/>
    <w:rsid w:val="00C747F8"/>
    <w:rsid w:val="00CF153D"/>
    <w:rsid w:val="00CF4357"/>
    <w:rsid w:val="00D260CD"/>
    <w:rsid w:val="00D33CC7"/>
    <w:rsid w:val="00D41D5B"/>
    <w:rsid w:val="00D4445D"/>
    <w:rsid w:val="00D62D76"/>
    <w:rsid w:val="00D72F2B"/>
    <w:rsid w:val="00D82700"/>
    <w:rsid w:val="00DA3BCA"/>
    <w:rsid w:val="00DB0585"/>
    <w:rsid w:val="00DB0F51"/>
    <w:rsid w:val="00DD08A7"/>
    <w:rsid w:val="00DD4502"/>
    <w:rsid w:val="00E06C84"/>
    <w:rsid w:val="00E170CD"/>
    <w:rsid w:val="00E30990"/>
    <w:rsid w:val="00E407D3"/>
    <w:rsid w:val="00E50D4A"/>
    <w:rsid w:val="00E555B0"/>
    <w:rsid w:val="00E55AB7"/>
    <w:rsid w:val="00ED3250"/>
    <w:rsid w:val="00ED4921"/>
    <w:rsid w:val="00EE6F02"/>
    <w:rsid w:val="00F006CF"/>
    <w:rsid w:val="00F175A4"/>
    <w:rsid w:val="00F24FC5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2021-05-20T17:29:00Z</cp:lastPrinted>
  <dcterms:created xsi:type="dcterms:W3CDTF">2021-05-21T10:26:00Z</dcterms:created>
  <dcterms:modified xsi:type="dcterms:W3CDTF">2021-05-21T10:26:00Z</dcterms:modified>
</cp:coreProperties>
</file>